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46FD" w14:textId="3A72FF2E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75/</w:t>
      </w:r>
      <w:proofErr w:type="gramStart"/>
      <w:r w:rsidRPr="00856462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Pr="00856462">
        <w:rPr>
          <w:rFonts w:ascii="Times New Roman" w:hAnsi="Times New Roman" w:cs="Times New Roman"/>
          <w:sz w:val="24"/>
          <w:szCs w:val="24"/>
        </w:rPr>
        <w:t xml:space="preserve">6)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No. 326/2011 (XII. 28.)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issuance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revocation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63/</w:t>
      </w:r>
      <w:proofErr w:type="gramStart"/>
      <w:r w:rsidRPr="0085646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56462">
        <w:rPr>
          <w:rFonts w:ascii="Times New Roman" w:hAnsi="Times New Roman" w:cs="Times New Roman"/>
          <w:sz w:val="24"/>
          <w:szCs w:val="24"/>
        </w:rPr>
        <w:t xml:space="preserve">2)(1)-(5)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Hungary.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plates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63/</w:t>
      </w:r>
      <w:proofErr w:type="gramStart"/>
      <w:r w:rsidRPr="0085646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5646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reciprocity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entitle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EEA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."</w:t>
      </w:r>
    </w:p>
    <w:p w14:paraId="15F24DAA" w14:textId="69F43319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923D1" w14:textId="5C7553C9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>63/</w:t>
      </w:r>
      <w:proofErr w:type="gramStart"/>
      <w:r w:rsidRPr="0085646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56462">
        <w:rPr>
          <w:rFonts w:ascii="Times New Roman" w:hAnsi="Times New Roman" w:cs="Times New Roman"/>
          <w:sz w:val="24"/>
          <w:szCs w:val="24"/>
        </w:rPr>
        <w:t>2)</w:t>
      </w:r>
      <w:r w:rsidRPr="00856462">
        <w:rPr>
          <w:rFonts w:ascii="Times New Roman" w:hAnsi="Times New Roman" w:cs="Times New Roman"/>
          <w:sz w:val="24"/>
          <w:szCs w:val="24"/>
        </w:rPr>
        <w:t xml:space="preserve"> 6-12:</w:t>
      </w:r>
    </w:p>
    <w:p w14:paraId="53C15B7C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8000F" w14:textId="51E33EF0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Slow-moving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self-propelled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:</w:t>
      </w:r>
    </w:p>
    <w:p w14:paraId="64D7249A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self-propelled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harvesting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reapers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threshers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choppers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beet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harvesters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harvesters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grape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harvesters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harvesters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forwarders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),</w:t>
      </w:r>
    </w:p>
    <w:p w14:paraId="2CA40A07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self-propelled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fertilizer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manure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spreaders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,</w:t>
      </w:r>
    </w:p>
    <w:p w14:paraId="2C217F78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self-propelled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sprayers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,</w:t>
      </w:r>
    </w:p>
    <w:p w14:paraId="1C23D8AA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self-propelled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carriers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,</w:t>
      </w:r>
    </w:p>
    <w:p w14:paraId="263BC2D5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self-propelled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loaders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use</w:t>
      </w:r>
      <w:proofErr w:type="spellEnd"/>
    </w:p>
    <w:p w14:paraId="5DAE2D62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 design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more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25 km/h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is limited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25 km/h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,</w:t>
      </w:r>
    </w:p>
    <w:p w14:paraId="7E0FF7CB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tractors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towing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trailers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exceeding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40 km/h,</w:t>
      </w:r>
    </w:p>
    <w:p w14:paraId="45A215DD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testing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manufactured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 business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entity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testing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service,</w:t>
      </w:r>
    </w:p>
    <w:p w14:paraId="762DA782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testing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is motor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trade,</w:t>
      </w:r>
    </w:p>
    <w:p w14:paraId="50801977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expired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(testing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),</w:t>
      </w:r>
    </w:p>
    <w:p w14:paraId="5D5DD228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Research Institute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inspections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,</w:t>
      </w:r>
    </w:p>
    <w:p w14:paraId="73541FE5" w14:textId="77777777" w:rsidR="00856462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testing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authority's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ministerial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,</w:t>
      </w:r>
    </w:p>
    <w:p w14:paraId="6AF90B05" w14:textId="4ED74098" w:rsidR="009D1188" w:rsidRPr="00856462" w:rsidRDefault="00856462" w:rsidP="00856462">
      <w:pPr>
        <w:jc w:val="both"/>
        <w:rPr>
          <w:rFonts w:ascii="Times New Roman" w:hAnsi="Times New Roman" w:cs="Times New Roman"/>
          <w:sz w:val="24"/>
          <w:szCs w:val="24"/>
        </w:rPr>
      </w:pPr>
      <w:r w:rsidRPr="0085646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classified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ministerial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inspection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hereinafter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462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Pr="00856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D1188" w:rsidRPr="0085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2"/>
    <w:rsid w:val="00856462"/>
    <w:rsid w:val="009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458"/>
  <w15:chartTrackingRefBased/>
  <w15:docId w15:val="{FABE7C4B-FF0C-421A-B174-5D2E1CE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 Mátyás - TAL</dc:creator>
  <cp:keywords/>
  <dc:description/>
  <cp:lastModifiedBy>Földi Mátyás - TAL</cp:lastModifiedBy>
  <cp:revision>1</cp:revision>
  <dcterms:created xsi:type="dcterms:W3CDTF">2025-08-08T06:25:00Z</dcterms:created>
  <dcterms:modified xsi:type="dcterms:W3CDTF">2025-08-08T06:30:00Z</dcterms:modified>
</cp:coreProperties>
</file>